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5B" w:rsidRPr="00D33E62" w:rsidRDefault="002C627D" w:rsidP="004D4C5B">
      <w:pPr>
        <w:ind w:left="2160" w:hanging="21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2"/>
        </w:rPr>
        <w:t>Asset Management Strategy</w:t>
      </w:r>
      <w:r w:rsidR="004D4C5B" w:rsidRPr="00D33E62">
        <w:rPr>
          <w:rFonts w:ascii="Calibri" w:eastAsia="Calibri" w:hAnsi="Calibri" w:cs="Calibri"/>
          <w:b/>
          <w:sz w:val="28"/>
          <w:szCs w:val="22"/>
        </w:rPr>
        <w:t xml:space="preserve"> Risk Register </w:t>
      </w:r>
    </w:p>
    <w:p w:rsidR="004D4C5B" w:rsidRPr="00D33E62" w:rsidRDefault="004D4C5B" w:rsidP="004D4C5B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6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406"/>
        <w:gridCol w:w="425"/>
        <w:gridCol w:w="425"/>
        <w:gridCol w:w="1855"/>
        <w:gridCol w:w="2114"/>
        <w:gridCol w:w="2406"/>
        <w:gridCol w:w="429"/>
        <w:gridCol w:w="425"/>
        <w:gridCol w:w="2552"/>
        <w:gridCol w:w="2556"/>
        <w:gridCol w:w="425"/>
        <w:gridCol w:w="467"/>
      </w:tblGrid>
      <w:tr w:rsidR="004D4C5B" w:rsidRPr="00D33E62" w:rsidTr="00297D6F">
        <w:trPr>
          <w:trHeight w:val="644"/>
          <w:jc w:val="center"/>
        </w:trPr>
        <w:tc>
          <w:tcPr>
            <w:tcW w:w="701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33E62">
              <w:rPr>
                <w:rFonts w:ascii="Calibri" w:eastAsia="Calibri" w:hAnsi="Calibri" w:cs="Calibri"/>
                <w:sz w:val="18"/>
                <w:szCs w:val="18"/>
              </w:rPr>
              <w:t>No.</w:t>
            </w:r>
          </w:p>
        </w:tc>
        <w:tc>
          <w:tcPr>
            <w:tcW w:w="1406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33E62">
              <w:rPr>
                <w:rFonts w:ascii="Calibri" w:eastAsia="Calibri" w:hAnsi="Calibri" w:cs="Calibri"/>
                <w:sz w:val="18"/>
                <w:szCs w:val="18"/>
              </w:rPr>
              <w:t xml:space="preserve">Risk Description </w:t>
            </w:r>
          </w:p>
          <w:p w:rsidR="004D4C5B" w:rsidRPr="00D33E62" w:rsidRDefault="004D4C5B" w:rsidP="00297D6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33E62">
              <w:rPr>
                <w:rFonts w:ascii="Calibri" w:eastAsia="Calibri" w:hAnsi="Calibri" w:cs="Calibri"/>
                <w:sz w:val="18"/>
                <w:szCs w:val="18"/>
              </w:rPr>
              <w:t>Gross Risk</w:t>
            </w:r>
          </w:p>
        </w:tc>
        <w:tc>
          <w:tcPr>
            <w:tcW w:w="1855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33E62">
              <w:rPr>
                <w:rFonts w:ascii="Calibri" w:eastAsia="Calibri" w:hAnsi="Calibri" w:cs="Calibri"/>
                <w:sz w:val="18"/>
                <w:szCs w:val="18"/>
              </w:rPr>
              <w:t xml:space="preserve">Cause of Risk </w:t>
            </w:r>
          </w:p>
          <w:p w:rsidR="004D4C5B" w:rsidRPr="00D33E62" w:rsidRDefault="004D4C5B" w:rsidP="00297D6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4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33E62">
              <w:rPr>
                <w:rFonts w:ascii="Calibri" w:eastAsia="Calibri" w:hAnsi="Calibri" w:cs="Calibri"/>
                <w:sz w:val="18"/>
                <w:szCs w:val="18"/>
              </w:rPr>
              <w:t>Consequence</w:t>
            </w:r>
          </w:p>
        </w:tc>
        <w:tc>
          <w:tcPr>
            <w:tcW w:w="2406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33E62">
              <w:rPr>
                <w:rFonts w:ascii="Calibri" w:eastAsia="Calibri" w:hAnsi="Calibri" w:cs="Calibri"/>
                <w:sz w:val="18"/>
                <w:szCs w:val="18"/>
              </w:rPr>
              <w:t>Mitigation</w:t>
            </w:r>
          </w:p>
        </w:tc>
        <w:tc>
          <w:tcPr>
            <w:tcW w:w="854" w:type="dxa"/>
            <w:gridSpan w:val="2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33E62">
              <w:rPr>
                <w:rFonts w:ascii="Calibri" w:eastAsia="Calibri" w:hAnsi="Calibri" w:cs="Calibri"/>
                <w:sz w:val="18"/>
                <w:szCs w:val="18"/>
              </w:rPr>
              <w:t>Current Risk</w:t>
            </w:r>
          </w:p>
        </w:tc>
        <w:tc>
          <w:tcPr>
            <w:tcW w:w="2552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33E62">
              <w:rPr>
                <w:rFonts w:ascii="Calibri" w:eastAsia="Calibri" w:hAnsi="Calibri" w:cs="Calibri"/>
                <w:sz w:val="18"/>
                <w:szCs w:val="18"/>
              </w:rPr>
              <w:t xml:space="preserve">Further Management of Risk: </w:t>
            </w:r>
          </w:p>
          <w:p w:rsidR="004D4C5B" w:rsidRPr="00D33E62" w:rsidRDefault="004D4C5B" w:rsidP="00297D6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33E62">
              <w:rPr>
                <w:rFonts w:ascii="Calibri" w:eastAsia="Calibri" w:hAnsi="Calibri" w:cs="Calibri"/>
                <w:sz w:val="18"/>
                <w:szCs w:val="18"/>
              </w:rPr>
              <w:t>Transfer/Accept/Reduce/Avoid</w:t>
            </w:r>
          </w:p>
        </w:tc>
        <w:tc>
          <w:tcPr>
            <w:tcW w:w="2556" w:type="dxa"/>
          </w:tcPr>
          <w:p w:rsidR="004D4C5B" w:rsidRPr="00D33E62" w:rsidRDefault="004D4C5B" w:rsidP="00297D6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33E62">
              <w:rPr>
                <w:rFonts w:ascii="Calibri" w:eastAsia="Calibri" w:hAnsi="Calibri" w:cs="Calibri"/>
                <w:sz w:val="18"/>
                <w:szCs w:val="18"/>
              </w:rPr>
              <w:t>Monitoring Effectiveness</w:t>
            </w:r>
          </w:p>
        </w:tc>
        <w:tc>
          <w:tcPr>
            <w:tcW w:w="892" w:type="dxa"/>
            <w:gridSpan w:val="2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33E62">
              <w:rPr>
                <w:rFonts w:ascii="Calibri" w:eastAsia="Calibri" w:hAnsi="Calibri" w:cs="Calibri"/>
                <w:sz w:val="18"/>
                <w:szCs w:val="18"/>
              </w:rPr>
              <w:t>Residual Risk</w:t>
            </w:r>
          </w:p>
        </w:tc>
      </w:tr>
      <w:tr w:rsidR="004D4C5B" w:rsidRPr="00D33E62" w:rsidTr="00297D6F">
        <w:trPr>
          <w:trHeight w:val="361"/>
          <w:jc w:val="center"/>
        </w:trPr>
        <w:tc>
          <w:tcPr>
            <w:tcW w:w="2107" w:type="dxa"/>
            <w:gridSpan w:val="2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079" w:type="dxa"/>
            <w:gridSpan w:val="11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Risk Score</w:t>
            </w:r>
            <w:r w:rsidRPr="00D33E62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D33E62">
              <w:rPr>
                <w:rFonts w:ascii="Calibri" w:eastAsia="Calibri" w:hAnsi="Calibri" w:cs="Calibri"/>
                <w:b/>
                <w:sz w:val="20"/>
                <w:szCs w:val="20"/>
              </w:rPr>
              <w:t>Impact Score</w:t>
            </w:r>
            <w:r w:rsidRPr="00D33E62">
              <w:rPr>
                <w:rFonts w:ascii="Calibri" w:eastAsia="Calibri" w:hAnsi="Calibri" w:cs="Calibri"/>
                <w:sz w:val="20"/>
                <w:szCs w:val="20"/>
              </w:rPr>
              <w:t xml:space="preserve">: 1 = Insignificant; 2 = Minor; 3 = Moderate; 4 = Major; 5 = Catastrophic   </w:t>
            </w:r>
            <w:r w:rsidRPr="00D33E62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D33E62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Probability Score:</w:t>
            </w:r>
            <w:r w:rsidRPr="00D33E62">
              <w:rPr>
                <w:rFonts w:ascii="Calibri" w:eastAsia="Calibri" w:hAnsi="Calibri" w:cs="Calibri"/>
                <w:sz w:val="20"/>
                <w:szCs w:val="20"/>
              </w:rPr>
              <w:t xml:space="preserve"> 1 = Rare; 2 = Unlikely; 3 = Possible; 4 = Likely; 5 = Almost Certain</w:t>
            </w:r>
          </w:p>
        </w:tc>
      </w:tr>
      <w:tr w:rsidR="004D4C5B" w:rsidRPr="00D33E62" w:rsidTr="00297D6F">
        <w:trPr>
          <w:trHeight w:val="413"/>
          <w:jc w:val="center"/>
        </w:trPr>
        <w:tc>
          <w:tcPr>
            <w:tcW w:w="701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06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425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</w:tc>
        <w:tc>
          <w:tcPr>
            <w:tcW w:w="1855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6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425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</w:tc>
        <w:tc>
          <w:tcPr>
            <w:tcW w:w="2552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6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467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</w:tc>
      </w:tr>
      <w:tr w:rsidR="004D4C5B" w:rsidRPr="00D33E62" w:rsidTr="00297D6F">
        <w:trPr>
          <w:trHeight w:val="1241"/>
          <w:jc w:val="center"/>
        </w:trPr>
        <w:tc>
          <w:tcPr>
            <w:tcW w:w="701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4D4C5B" w:rsidRPr="00D33E62" w:rsidRDefault="00B1510E" w:rsidP="00B1510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Inappropriate/no </w:t>
            </w:r>
            <w:r w:rsidR="004D4C5B">
              <w:rPr>
                <w:rFonts w:ascii="Calibri" w:eastAsia="Calibri" w:hAnsi="Calibri" w:cs="Calibri"/>
                <w:sz w:val="20"/>
                <w:szCs w:val="20"/>
              </w:rPr>
              <w:t>up to date AMS</w:t>
            </w:r>
            <w:r w:rsidR="000500CB">
              <w:rPr>
                <w:rFonts w:ascii="Calibri" w:eastAsia="Calibri" w:hAnsi="Calibri" w:cs="Calibri"/>
                <w:sz w:val="20"/>
                <w:szCs w:val="20"/>
              </w:rPr>
              <w:t xml:space="preserve"> and AMAP</w:t>
            </w:r>
          </w:p>
        </w:tc>
        <w:tc>
          <w:tcPr>
            <w:tcW w:w="425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Plan</w:t>
            </w:r>
            <w:r w:rsidR="000500C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33E62">
              <w:rPr>
                <w:rFonts w:ascii="Calibri" w:eastAsia="Calibri" w:hAnsi="Calibri" w:cs="Calibri"/>
                <w:sz w:val="20"/>
                <w:szCs w:val="20"/>
              </w:rPr>
              <w:t xml:space="preserve"> not prepared or not adopted</w:t>
            </w:r>
          </w:p>
        </w:tc>
        <w:tc>
          <w:tcPr>
            <w:tcW w:w="2114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Ineffective management of property assets, loss of income, missed opportunities</w:t>
            </w:r>
          </w:p>
        </w:tc>
        <w:tc>
          <w:tcPr>
            <w:tcW w:w="2406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 to date strategy</w:t>
            </w:r>
            <w:r w:rsidR="004D4C5B" w:rsidRPr="00D33E62">
              <w:rPr>
                <w:rFonts w:ascii="Calibri" w:eastAsia="Calibri" w:hAnsi="Calibri" w:cs="Calibri"/>
                <w:sz w:val="20"/>
                <w:szCs w:val="20"/>
              </w:rPr>
              <w:t xml:space="preserve"> prepared and adopted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effective AMAP</w:t>
            </w:r>
          </w:p>
        </w:tc>
        <w:tc>
          <w:tcPr>
            <w:tcW w:w="429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Reduce</w:t>
            </w:r>
          </w:p>
        </w:tc>
        <w:tc>
          <w:tcPr>
            <w:tcW w:w="2556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 xml:space="preserve">Effective </w:t>
            </w:r>
          </w:p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4D4C5B" w:rsidRPr="00D33E62" w:rsidTr="00297D6F">
        <w:trPr>
          <w:trHeight w:val="1241"/>
          <w:jc w:val="center"/>
        </w:trPr>
        <w:tc>
          <w:tcPr>
            <w:tcW w:w="701" w:type="dxa"/>
          </w:tcPr>
          <w:p w:rsidR="004D4C5B" w:rsidRPr="00D33E62" w:rsidRDefault="00B1510E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4D4C5B" w:rsidRPr="00D33E62" w:rsidRDefault="0093396A" w:rsidP="009339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Poor delivery of AMS</w:t>
            </w:r>
            <w:r w:rsidR="000500CB">
              <w:rPr>
                <w:rFonts w:ascii="Calibri" w:eastAsia="Calibri" w:hAnsi="Calibri" w:cs="Calibri"/>
                <w:sz w:val="20"/>
                <w:szCs w:val="20"/>
              </w:rPr>
              <w:t>/AMAP</w:t>
            </w:r>
          </w:p>
        </w:tc>
        <w:tc>
          <w:tcPr>
            <w:tcW w:w="425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55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Lack of resource, lack of funds, no stakeholder buy in</w:t>
            </w:r>
            <w:r w:rsidR="0093396A">
              <w:rPr>
                <w:rFonts w:ascii="Calibri" w:eastAsia="Calibri" w:hAnsi="Calibri" w:cs="Calibri"/>
                <w:sz w:val="20"/>
                <w:szCs w:val="20"/>
              </w:rPr>
              <w:t xml:space="preserve">, poor decision processes, lack of management </w:t>
            </w:r>
          </w:p>
        </w:tc>
        <w:tc>
          <w:tcPr>
            <w:tcW w:w="2114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Ineffective management of property assets, loss of income, missed opportunities</w:t>
            </w:r>
          </w:p>
        </w:tc>
        <w:tc>
          <w:tcPr>
            <w:tcW w:w="2406" w:type="dxa"/>
          </w:tcPr>
          <w:p w:rsidR="004D4C5B" w:rsidRDefault="004D4C5B" w:rsidP="004D4C5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AMAP identifies e</w:t>
            </w:r>
            <w:r w:rsidRPr="00D33E62">
              <w:rPr>
                <w:rFonts w:ascii="Calibri" w:eastAsia="Calibri" w:hAnsi="Calibri" w:cs="Calibri"/>
                <w:sz w:val="20"/>
                <w:szCs w:val="20"/>
              </w:rPr>
              <w:t>ffective and agreed resource, capital 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revenue plans to support activities</w:t>
            </w:r>
          </w:p>
          <w:p w:rsidR="0093396A" w:rsidRPr="00D33E62" w:rsidRDefault="0093396A" w:rsidP="004D4C5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Quarterly Reporting to ARG</w:t>
            </w:r>
          </w:p>
        </w:tc>
        <w:tc>
          <w:tcPr>
            <w:tcW w:w="429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 xml:space="preserve">Reduce – </w:t>
            </w:r>
          </w:p>
        </w:tc>
        <w:tc>
          <w:tcPr>
            <w:tcW w:w="2556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Effective</w:t>
            </w:r>
          </w:p>
        </w:tc>
        <w:tc>
          <w:tcPr>
            <w:tcW w:w="425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4D4C5B" w:rsidRPr="00D33E62" w:rsidTr="00297D6F">
        <w:trPr>
          <w:trHeight w:val="1241"/>
          <w:jc w:val="center"/>
        </w:trPr>
        <w:tc>
          <w:tcPr>
            <w:tcW w:w="701" w:type="dxa"/>
          </w:tcPr>
          <w:p w:rsidR="004D4C5B" w:rsidRPr="00D33E62" w:rsidRDefault="000500C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Market</w:t>
            </w:r>
          </w:p>
        </w:tc>
        <w:tc>
          <w:tcPr>
            <w:tcW w:w="425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Adverse market conditions</w:t>
            </w:r>
          </w:p>
        </w:tc>
        <w:tc>
          <w:tcPr>
            <w:tcW w:w="2114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Adverse impact on values, receipts and income, capital receipts and spend</w:t>
            </w:r>
          </w:p>
        </w:tc>
        <w:tc>
          <w:tcPr>
            <w:tcW w:w="2406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Clear strategy, AMAP in place identifying required actions, </w:t>
            </w:r>
            <w:r w:rsidR="004D4C5B" w:rsidRPr="00D33E62">
              <w:rPr>
                <w:rFonts w:ascii="Calibri" w:eastAsia="Calibri" w:hAnsi="Calibri" w:cs="Calibri"/>
                <w:sz w:val="20"/>
                <w:szCs w:val="20"/>
              </w:rPr>
              <w:t>Market intelligence, professional staff, responsive decision making</w:t>
            </w:r>
          </w:p>
        </w:tc>
        <w:tc>
          <w:tcPr>
            <w:tcW w:w="429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 xml:space="preserve">Reduce – </w:t>
            </w:r>
          </w:p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Clarity and understanding of portfolio and property risk, performance measurement</w:t>
            </w:r>
          </w:p>
        </w:tc>
        <w:tc>
          <w:tcPr>
            <w:tcW w:w="2556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Effective</w:t>
            </w:r>
          </w:p>
        </w:tc>
        <w:tc>
          <w:tcPr>
            <w:tcW w:w="425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7" w:type="dxa"/>
          </w:tcPr>
          <w:p w:rsidR="004D4C5B" w:rsidRPr="00D33E62" w:rsidRDefault="00AB4DD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4D4C5B" w:rsidRPr="00D33E62" w:rsidTr="00297D6F">
        <w:trPr>
          <w:trHeight w:val="1241"/>
          <w:jc w:val="center"/>
        </w:trPr>
        <w:tc>
          <w:tcPr>
            <w:tcW w:w="701" w:type="dxa"/>
          </w:tcPr>
          <w:p w:rsidR="004D4C5B" w:rsidRPr="00D33E62" w:rsidRDefault="000500C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 xml:space="preserve">Oxford </w:t>
            </w:r>
            <w:r w:rsidR="000500CB">
              <w:rPr>
                <w:rFonts w:ascii="Calibri" w:eastAsia="Calibri" w:hAnsi="Calibri" w:cs="Calibri"/>
                <w:sz w:val="20"/>
                <w:szCs w:val="20"/>
              </w:rPr>
              <w:t xml:space="preserve">/Retail </w:t>
            </w:r>
            <w:r w:rsidRPr="00D33E62">
              <w:rPr>
                <w:rFonts w:ascii="Calibri" w:eastAsia="Calibri" w:hAnsi="Calibri" w:cs="Calibri"/>
                <w:sz w:val="20"/>
                <w:szCs w:val="20"/>
              </w:rPr>
              <w:t>Centric Portfolio</w:t>
            </w:r>
          </w:p>
        </w:tc>
        <w:tc>
          <w:tcPr>
            <w:tcW w:w="425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 xml:space="preserve">Impact of a locationaly limited </w:t>
            </w:r>
            <w:r w:rsidR="000500CB">
              <w:rPr>
                <w:rFonts w:ascii="Calibri" w:eastAsia="Calibri" w:hAnsi="Calibri" w:cs="Calibri"/>
                <w:sz w:val="20"/>
                <w:szCs w:val="20"/>
              </w:rPr>
              <w:t xml:space="preserve">and predominantly retail </w:t>
            </w:r>
            <w:r w:rsidRPr="00D33E62">
              <w:rPr>
                <w:rFonts w:ascii="Calibri" w:eastAsia="Calibri" w:hAnsi="Calibri" w:cs="Calibri"/>
                <w:sz w:val="20"/>
                <w:szCs w:val="20"/>
              </w:rPr>
              <w:t>investment portfolio</w:t>
            </w:r>
          </w:p>
        </w:tc>
        <w:tc>
          <w:tcPr>
            <w:tcW w:w="2114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Excessive sensitivity to local regional changes and impacts</w:t>
            </w:r>
          </w:p>
        </w:tc>
        <w:tc>
          <w:tcPr>
            <w:tcW w:w="2406" w:type="dxa"/>
          </w:tcPr>
          <w:p w:rsidR="004D4C5B" w:rsidRPr="00D33E62" w:rsidRDefault="00C70952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AMAP to identify projects to review and address</w:t>
            </w:r>
          </w:p>
        </w:tc>
        <w:tc>
          <w:tcPr>
            <w:tcW w:w="429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 xml:space="preserve">Reduce – </w:t>
            </w:r>
          </w:p>
          <w:p w:rsidR="004D4C5B" w:rsidRPr="00D33E62" w:rsidRDefault="00C70952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Performance and progress reporting</w:t>
            </w:r>
          </w:p>
        </w:tc>
        <w:tc>
          <w:tcPr>
            <w:tcW w:w="2556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Effective</w:t>
            </w:r>
          </w:p>
        </w:tc>
        <w:tc>
          <w:tcPr>
            <w:tcW w:w="425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7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4D4C5B" w:rsidRPr="00D33E62" w:rsidTr="00297D6F">
        <w:trPr>
          <w:trHeight w:val="1241"/>
          <w:jc w:val="center"/>
        </w:trPr>
        <w:tc>
          <w:tcPr>
            <w:tcW w:w="701" w:type="dxa"/>
          </w:tcPr>
          <w:p w:rsidR="004D4C5B" w:rsidRPr="00D33E62" w:rsidRDefault="000500C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Adverse publicity/ public opinion</w:t>
            </w:r>
          </w:p>
        </w:tc>
        <w:tc>
          <w:tcPr>
            <w:tcW w:w="425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Inappropriate decisions, inadequate stakeholder consultation</w:t>
            </w:r>
          </w:p>
        </w:tc>
        <w:tc>
          <w:tcPr>
            <w:tcW w:w="2114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Unfavourable Press and media outputs</w:t>
            </w:r>
            <w:r w:rsidR="00297D6F">
              <w:rPr>
                <w:rFonts w:ascii="Calibri" w:eastAsia="Calibri" w:hAnsi="Calibri" w:cs="Calibri"/>
                <w:sz w:val="20"/>
                <w:szCs w:val="20"/>
              </w:rPr>
              <w:t xml:space="preserve"> complaints</w:t>
            </w:r>
          </w:p>
        </w:tc>
        <w:tc>
          <w:tcPr>
            <w:tcW w:w="2406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Effective stakeholder consultation, awareness of impacts of decisions</w:t>
            </w:r>
          </w:p>
        </w:tc>
        <w:tc>
          <w:tcPr>
            <w:tcW w:w="429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Reduce</w:t>
            </w:r>
          </w:p>
        </w:tc>
        <w:tc>
          <w:tcPr>
            <w:tcW w:w="2556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Effective</w:t>
            </w:r>
          </w:p>
        </w:tc>
        <w:tc>
          <w:tcPr>
            <w:tcW w:w="425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4D4C5B" w:rsidRPr="00D33E62" w:rsidRDefault="00297D6F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4D4C5B" w:rsidRPr="00D33E62" w:rsidTr="00297D6F">
        <w:trPr>
          <w:trHeight w:val="1241"/>
          <w:jc w:val="center"/>
        </w:trPr>
        <w:tc>
          <w:tcPr>
            <w:tcW w:w="701" w:type="dxa"/>
          </w:tcPr>
          <w:p w:rsidR="004D4C5B" w:rsidRPr="00D33E62" w:rsidRDefault="000500C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Business Continuity</w:t>
            </w:r>
            <w:bookmarkStart w:id="0" w:name="_GoBack"/>
            <w:bookmarkEnd w:id="0"/>
          </w:p>
        </w:tc>
        <w:tc>
          <w:tcPr>
            <w:tcW w:w="425" w:type="dxa"/>
          </w:tcPr>
          <w:p w:rsidR="004D4C5B" w:rsidRPr="00D33E62" w:rsidRDefault="00F11778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D4C5B" w:rsidRPr="00D33E62" w:rsidRDefault="00F11778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4D4C5B" w:rsidRPr="00D33E62" w:rsidRDefault="00C70952" w:rsidP="009531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Impact on operations </w:t>
            </w:r>
            <w:r w:rsidR="00953100">
              <w:rPr>
                <w:rFonts w:ascii="Calibri" w:eastAsia="Calibri" w:hAnsi="Calibri" w:cs="Calibri"/>
                <w:sz w:val="20"/>
                <w:szCs w:val="20"/>
              </w:rPr>
              <w:t xml:space="preserve">including physical premises, technology and </w:t>
            </w:r>
            <w:r w:rsidR="0095310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people eg could include  fire flood covid hacking strikes or any other form of disruption</w:t>
            </w:r>
          </w:p>
        </w:tc>
        <w:tc>
          <w:tcPr>
            <w:tcW w:w="2114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Impacts/failure to deliver operational business, loss of income</w:t>
            </w:r>
          </w:p>
        </w:tc>
        <w:tc>
          <w:tcPr>
            <w:tcW w:w="2406" w:type="dxa"/>
          </w:tcPr>
          <w:p w:rsidR="004D4C5B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Effective business continuity plans in place</w:t>
            </w:r>
          </w:p>
          <w:p w:rsidR="00F11778" w:rsidRPr="00D33E62" w:rsidRDefault="00F11778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Portfolio Performance data effective arrears management</w:t>
            </w:r>
          </w:p>
        </w:tc>
        <w:tc>
          <w:tcPr>
            <w:tcW w:w="429" w:type="dxa"/>
          </w:tcPr>
          <w:p w:rsidR="004D4C5B" w:rsidRPr="00D33E62" w:rsidRDefault="00F11778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D4C5B" w:rsidRPr="00D33E62" w:rsidRDefault="00F11778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D4C5B" w:rsidRPr="00D33E62" w:rsidRDefault="00953100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Reduce</w:t>
            </w:r>
          </w:p>
        </w:tc>
        <w:tc>
          <w:tcPr>
            <w:tcW w:w="2556" w:type="dxa"/>
          </w:tcPr>
          <w:p w:rsidR="004D4C5B" w:rsidRPr="00D33E62" w:rsidRDefault="00C70952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Effective</w:t>
            </w:r>
          </w:p>
        </w:tc>
        <w:tc>
          <w:tcPr>
            <w:tcW w:w="425" w:type="dxa"/>
          </w:tcPr>
          <w:p w:rsidR="004D4C5B" w:rsidRPr="00D33E62" w:rsidRDefault="00F11778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7" w:type="dxa"/>
          </w:tcPr>
          <w:p w:rsidR="004D4C5B" w:rsidRPr="00D33E62" w:rsidRDefault="00F11778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4D4C5B" w:rsidRPr="00D33E62" w:rsidTr="00297D6F">
        <w:trPr>
          <w:trHeight w:val="1241"/>
          <w:jc w:val="center"/>
        </w:trPr>
        <w:tc>
          <w:tcPr>
            <w:tcW w:w="701" w:type="dxa"/>
          </w:tcPr>
          <w:p w:rsidR="004D4C5B" w:rsidRPr="00D33E62" w:rsidRDefault="000500C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4D4C5B" w:rsidRPr="00D33E62" w:rsidRDefault="004D4C5B" w:rsidP="00823D6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 xml:space="preserve">Technology </w:t>
            </w:r>
            <w:r w:rsidR="00823D6C">
              <w:rPr>
                <w:rFonts w:ascii="Calibri" w:eastAsia="Calibri" w:hAnsi="Calibri" w:cs="Calibri"/>
                <w:sz w:val="20"/>
                <w:szCs w:val="20"/>
              </w:rPr>
              <w:t>&amp; Data Systems</w:t>
            </w:r>
          </w:p>
        </w:tc>
        <w:tc>
          <w:tcPr>
            <w:tcW w:w="425" w:type="dxa"/>
          </w:tcPr>
          <w:p w:rsidR="004D4C5B" w:rsidRPr="00D33E62" w:rsidRDefault="00F11778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D4C5B" w:rsidRPr="00D33E62" w:rsidRDefault="00F11778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 xml:space="preserve">Accommodation </w:t>
            </w:r>
            <w:r w:rsidR="00953100">
              <w:rPr>
                <w:rFonts w:ascii="Calibri" w:eastAsia="Calibri" w:hAnsi="Calibri" w:cs="Calibri"/>
                <w:sz w:val="20"/>
                <w:szCs w:val="20"/>
              </w:rPr>
              <w:t xml:space="preserve">and systems </w:t>
            </w:r>
            <w:r w:rsidRPr="00D33E62">
              <w:rPr>
                <w:rFonts w:ascii="Calibri" w:eastAsia="Calibri" w:hAnsi="Calibri" w:cs="Calibri"/>
                <w:sz w:val="20"/>
                <w:szCs w:val="20"/>
              </w:rPr>
              <w:t>unfit for purpose</w:t>
            </w:r>
          </w:p>
        </w:tc>
        <w:tc>
          <w:tcPr>
            <w:tcW w:w="2114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>Inefficient delivery, excess space use, higher costs</w:t>
            </w:r>
            <w:r w:rsidR="00953100">
              <w:rPr>
                <w:rFonts w:ascii="Calibri" w:eastAsia="Calibri" w:hAnsi="Calibri" w:cs="Calibri"/>
                <w:sz w:val="20"/>
                <w:szCs w:val="20"/>
              </w:rPr>
              <w:t xml:space="preserve"> lack of funding</w:t>
            </w:r>
          </w:p>
        </w:tc>
        <w:tc>
          <w:tcPr>
            <w:tcW w:w="2406" w:type="dxa"/>
          </w:tcPr>
          <w:p w:rsidR="004D4C5B" w:rsidRPr="00D33E62" w:rsidRDefault="004D4C5B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33E62">
              <w:rPr>
                <w:rFonts w:ascii="Calibri" w:eastAsia="Calibri" w:hAnsi="Calibri" w:cs="Calibri"/>
                <w:sz w:val="20"/>
                <w:szCs w:val="20"/>
              </w:rPr>
              <w:t xml:space="preserve">Market </w:t>
            </w:r>
            <w:r w:rsidR="00953100">
              <w:rPr>
                <w:rFonts w:ascii="Calibri" w:eastAsia="Calibri" w:hAnsi="Calibri" w:cs="Calibri"/>
                <w:sz w:val="20"/>
                <w:szCs w:val="20"/>
              </w:rPr>
              <w:t xml:space="preserve">and property </w:t>
            </w:r>
            <w:r w:rsidRPr="00D33E62">
              <w:rPr>
                <w:rFonts w:ascii="Calibri" w:eastAsia="Calibri" w:hAnsi="Calibri" w:cs="Calibri"/>
                <w:sz w:val="20"/>
                <w:szCs w:val="20"/>
              </w:rPr>
              <w:t>knowledge</w:t>
            </w:r>
            <w:r w:rsidR="00953100">
              <w:rPr>
                <w:rFonts w:ascii="Calibri" w:eastAsia="Calibri" w:hAnsi="Calibri" w:cs="Calibri"/>
                <w:sz w:val="20"/>
                <w:szCs w:val="20"/>
              </w:rPr>
              <w:t>, property surveys</w:t>
            </w:r>
            <w:r w:rsidR="00F11778">
              <w:rPr>
                <w:rFonts w:ascii="Calibri" w:eastAsia="Calibri" w:hAnsi="Calibri" w:cs="Calibri"/>
                <w:sz w:val="20"/>
                <w:szCs w:val="20"/>
              </w:rPr>
              <w:t xml:space="preserve"> AMAP identifies action required</w:t>
            </w:r>
          </w:p>
        </w:tc>
        <w:tc>
          <w:tcPr>
            <w:tcW w:w="429" w:type="dxa"/>
          </w:tcPr>
          <w:p w:rsidR="004D4C5B" w:rsidRPr="00D33E62" w:rsidRDefault="00F11778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D4C5B" w:rsidRPr="00D33E62" w:rsidRDefault="00F11778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D4C5B" w:rsidRPr="00D33E62" w:rsidRDefault="00953100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Reduce</w:t>
            </w:r>
          </w:p>
        </w:tc>
        <w:tc>
          <w:tcPr>
            <w:tcW w:w="2556" w:type="dxa"/>
          </w:tcPr>
          <w:p w:rsidR="004D4C5B" w:rsidRPr="00D33E62" w:rsidRDefault="00953100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Effective</w:t>
            </w:r>
          </w:p>
        </w:tc>
        <w:tc>
          <w:tcPr>
            <w:tcW w:w="425" w:type="dxa"/>
          </w:tcPr>
          <w:p w:rsidR="004D4C5B" w:rsidRPr="00D33E62" w:rsidRDefault="00F11778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7" w:type="dxa"/>
          </w:tcPr>
          <w:p w:rsidR="004D4C5B" w:rsidRPr="00D33E62" w:rsidRDefault="00F11778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1106DD" w:rsidRPr="00D33E62" w:rsidTr="00297D6F">
        <w:trPr>
          <w:trHeight w:val="1241"/>
          <w:jc w:val="center"/>
        </w:trPr>
        <w:tc>
          <w:tcPr>
            <w:tcW w:w="701" w:type="dxa"/>
          </w:tcPr>
          <w:p w:rsidR="001106DD" w:rsidRPr="00D33E62" w:rsidRDefault="001106D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06" w:type="dxa"/>
          </w:tcPr>
          <w:p w:rsidR="001106DD" w:rsidRDefault="001106D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Equality and Diversity</w:t>
            </w:r>
          </w:p>
        </w:tc>
        <w:tc>
          <w:tcPr>
            <w:tcW w:w="425" w:type="dxa"/>
          </w:tcPr>
          <w:p w:rsidR="001106DD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106DD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1106DD" w:rsidRDefault="001106D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Appropriate regard not given to equality and diversity policies</w:t>
            </w:r>
          </w:p>
        </w:tc>
        <w:tc>
          <w:tcPr>
            <w:tcW w:w="2114" w:type="dxa"/>
          </w:tcPr>
          <w:p w:rsidR="001106DD" w:rsidRDefault="001106DD" w:rsidP="001106D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Failure to deliver to appropriate standards, bad publicity, legal action</w:t>
            </w:r>
          </w:p>
        </w:tc>
        <w:tc>
          <w:tcPr>
            <w:tcW w:w="2406" w:type="dxa"/>
          </w:tcPr>
          <w:p w:rsidR="001106DD" w:rsidRDefault="001106D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AMAP to identify and programme activities to address</w:t>
            </w:r>
          </w:p>
        </w:tc>
        <w:tc>
          <w:tcPr>
            <w:tcW w:w="429" w:type="dxa"/>
          </w:tcPr>
          <w:p w:rsidR="001106DD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106DD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106DD" w:rsidRDefault="001106D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Reduce Performance and progress reporting</w:t>
            </w:r>
          </w:p>
        </w:tc>
        <w:tc>
          <w:tcPr>
            <w:tcW w:w="2556" w:type="dxa"/>
          </w:tcPr>
          <w:p w:rsidR="001106DD" w:rsidRPr="00D33E62" w:rsidRDefault="001106D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Effective</w:t>
            </w:r>
          </w:p>
        </w:tc>
        <w:tc>
          <w:tcPr>
            <w:tcW w:w="425" w:type="dxa"/>
          </w:tcPr>
          <w:p w:rsidR="001106DD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1106DD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CA32B6" w:rsidRPr="00D33E62" w:rsidTr="00297D6F">
        <w:trPr>
          <w:trHeight w:val="1241"/>
          <w:jc w:val="center"/>
        </w:trPr>
        <w:tc>
          <w:tcPr>
            <w:tcW w:w="701" w:type="dxa"/>
          </w:tcPr>
          <w:p w:rsidR="00CA32B6" w:rsidRDefault="00CA32B6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406" w:type="dxa"/>
          </w:tcPr>
          <w:p w:rsidR="00CA32B6" w:rsidRDefault="00CA32B6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Safeguarding</w:t>
            </w:r>
          </w:p>
        </w:tc>
        <w:tc>
          <w:tcPr>
            <w:tcW w:w="425" w:type="dxa"/>
          </w:tcPr>
          <w:p w:rsidR="00CA32B6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A32B6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CA32B6" w:rsidRDefault="00CA32B6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Appropriate regard not given to safeguarding</w:t>
            </w:r>
          </w:p>
        </w:tc>
        <w:tc>
          <w:tcPr>
            <w:tcW w:w="2114" w:type="dxa"/>
          </w:tcPr>
          <w:p w:rsidR="00CA32B6" w:rsidRDefault="00CA32B6" w:rsidP="001106D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Failure to report, take appropriate action bad publicity legal action</w:t>
            </w:r>
          </w:p>
        </w:tc>
        <w:tc>
          <w:tcPr>
            <w:tcW w:w="2406" w:type="dxa"/>
          </w:tcPr>
          <w:p w:rsidR="00CA32B6" w:rsidRDefault="00CA32B6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Staff training and policy framework</w:t>
            </w:r>
          </w:p>
        </w:tc>
        <w:tc>
          <w:tcPr>
            <w:tcW w:w="429" w:type="dxa"/>
          </w:tcPr>
          <w:p w:rsidR="00CA32B6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A32B6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A32B6" w:rsidRDefault="00CA32B6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Reduce</w:t>
            </w:r>
          </w:p>
        </w:tc>
        <w:tc>
          <w:tcPr>
            <w:tcW w:w="2556" w:type="dxa"/>
          </w:tcPr>
          <w:p w:rsidR="00CA32B6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CA32B6">
              <w:rPr>
                <w:rFonts w:ascii="Calibri" w:eastAsia="Calibri" w:hAnsi="Calibri" w:cs="Calibri"/>
                <w:sz w:val="20"/>
                <w:szCs w:val="20"/>
              </w:rPr>
              <w:t>ffective</w:t>
            </w:r>
          </w:p>
        </w:tc>
        <w:tc>
          <w:tcPr>
            <w:tcW w:w="425" w:type="dxa"/>
          </w:tcPr>
          <w:p w:rsidR="00CA32B6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CA32B6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CA32B6" w:rsidRPr="00D33E62" w:rsidTr="00297D6F">
        <w:trPr>
          <w:trHeight w:val="1241"/>
          <w:jc w:val="center"/>
        </w:trPr>
        <w:tc>
          <w:tcPr>
            <w:tcW w:w="701" w:type="dxa"/>
          </w:tcPr>
          <w:p w:rsidR="00CA32B6" w:rsidRDefault="00CA32B6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406" w:type="dxa"/>
          </w:tcPr>
          <w:p w:rsidR="00CA32B6" w:rsidRDefault="00CA32B6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Privacy</w:t>
            </w:r>
          </w:p>
        </w:tc>
        <w:tc>
          <w:tcPr>
            <w:tcW w:w="425" w:type="dxa"/>
          </w:tcPr>
          <w:p w:rsidR="00CA32B6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A32B6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CA32B6" w:rsidRDefault="00CA32B6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Failure to comply with GDPR</w:t>
            </w:r>
          </w:p>
        </w:tc>
        <w:tc>
          <w:tcPr>
            <w:tcW w:w="2114" w:type="dxa"/>
          </w:tcPr>
          <w:p w:rsidR="00CA32B6" w:rsidRDefault="00CA32B6" w:rsidP="001106D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Disclosure of personal information, bad publicity, legal action </w:t>
            </w:r>
          </w:p>
        </w:tc>
        <w:tc>
          <w:tcPr>
            <w:tcW w:w="2406" w:type="dxa"/>
          </w:tcPr>
          <w:p w:rsidR="00CA32B6" w:rsidRDefault="00CA32B6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Staff training and policy framework</w:t>
            </w:r>
          </w:p>
        </w:tc>
        <w:tc>
          <w:tcPr>
            <w:tcW w:w="429" w:type="dxa"/>
          </w:tcPr>
          <w:p w:rsidR="00CA32B6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A32B6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A32B6" w:rsidRDefault="00CA32B6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Reduce</w:t>
            </w:r>
          </w:p>
        </w:tc>
        <w:tc>
          <w:tcPr>
            <w:tcW w:w="2556" w:type="dxa"/>
          </w:tcPr>
          <w:p w:rsidR="00CA32B6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Effective</w:t>
            </w:r>
          </w:p>
        </w:tc>
        <w:tc>
          <w:tcPr>
            <w:tcW w:w="425" w:type="dxa"/>
          </w:tcPr>
          <w:p w:rsidR="00CA32B6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CA32B6" w:rsidRPr="00D33E62" w:rsidRDefault="002C627D" w:rsidP="00297D6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</w:tbl>
    <w:p w:rsidR="004D4C5B" w:rsidRDefault="004D4C5B" w:rsidP="004D4C5B">
      <w:pPr>
        <w:rPr>
          <w:rFonts w:ascii="Arial" w:hAnsi="Arial" w:cs="Arial"/>
          <w:sz w:val="20"/>
          <w:szCs w:val="20"/>
        </w:rPr>
      </w:pPr>
    </w:p>
    <w:p w:rsidR="004D4C5B" w:rsidRPr="00B525D4" w:rsidRDefault="004D4C5B" w:rsidP="004D4C5B">
      <w:pPr>
        <w:rPr>
          <w:rFonts w:ascii="Arial" w:hAnsi="Arial" w:cs="Arial"/>
          <w:sz w:val="20"/>
          <w:szCs w:val="20"/>
        </w:rPr>
        <w:sectPr w:rsidR="004D4C5B" w:rsidRPr="00B525D4" w:rsidSect="00297D6F">
          <w:pgSz w:w="16838" w:h="11906" w:orient="landscape"/>
          <w:pgMar w:top="850" w:right="907" w:bottom="850" w:left="720" w:header="720" w:footer="720" w:gutter="0"/>
          <w:cols w:space="720"/>
          <w:docGrid w:linePitch="360"/>
        </w:sectPr>
      </w:pPr>
      <w:r w:rsidRPr="00086976">
        <w:rPr>
          <w:rFonts w:ascii="Arial" w:hAnsi="Arial" w:cs="Arial"/>
          <w:sz w:val="20"/>
          <w:szCs w:val="20"/>
        </w:rPr>
        <w:t xml:space="preserve">Risks identified </w:t>
      </w:r>
      <w:r>
        <w:rPr>
          <w:rFonts w:ascii="Arial" w:hAnsi="Arial" w:cs="Arial"/>
          <w:sz w:val="20"/>
          <w:szCs w:val="20"/>
        </w:rPr>
        <w:t xml:space="preserve">have been assessed on the basis of Impact </w:t>
      </w:r>
      <w:r w:rsidRPr="00086976">
        <w:rPr>
          <w:sz w:val="20"/>
          <w:szCs w:val="20"/>
        </w:rPr>
        <w:t xml:space="preserve">( </w:t>
      </w:r>
      <w:r w:rsidRPr="00086976">
        <w:rPr>
          <w:b/>
          <w:bCs/>
          <w:sz w:val="20"/>
          <w:szCs w:val="20"/>
        </w:rPr>
        <w:t>I</w:t>
      </w:r>
      <w:r>
        <w:rPr>
          <w:bCs/>
          <w:sz w:val="20"/>
          <w:szCs w:val="20"/>
        </w:rPr>
        <w:t xml:space="preserve"> </w:t>
      </w:r>
      <w:r w:rsidRPr="0008697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and Probability (</w:t>
      </w:r>
      <w:r w:rsidRPr="0008697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) in worst case scenario (Gross Risk) and position after mitigation actions are taken (Residual Risk) together with assessment of Current Risk with actions and mitigations currently in place</w:t>
      </w:r>
    </w:p>
    <w:p w:rsidR="00C34DF5" w:rsidRDefault="00C34DF5"/>
    <w:sectPr w:rsidR="00C34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5B"/>
    <w:rsid w:val="000500CB"/>
    <w:rsid w:val="001106DD"/>
    <w:rsid w:val="00297D6F"/>
    <w:rsid w:val="002C627D"/>
    <w:rsid w:val="00350F63"/>
    <w:rsid w:val="0036589F"/>
    <w:rsid w:val="004D4C5B"/>
    <w:rsid w:val="00823D6C"/>
    <w:rsid w:val="0093396A"/>
    <w:rsid w:val="00953100"/>
    <w:rsid w:val="00AB4DDB"/>
    <w:rsid w:val="00B1510E"/>
    <w:rsid w:val="00C34DF5"/>
    <w:rsid w:val="00C70952"/>
    <w:rsid w:val="00CA32B6"/>
    <w:rsid w:val="00D2355A"/>
    <w:rsid w:val="00D74373"/>
    <w:rsid w:val="00F11778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6A324-F4B0-42D4-BC8F-53DAF38C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8B03423</Template>
  <TotalTime>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Mike W (Property)</dc:creator>
  <cp:keywords/>
  <dc:description/>
  <cp:lastModifiedBy>SCOTT Mike W (Property)</cp:lastModifiedBy>
  <cp:revision>2</cp:revision>
  <dcterms:created xsi:type="dcterms:W3CDTF">2021-11-12T13:49:00Z</dcterms:created>
  <dcterms:modified xsi:type="dcterms:W3CDTF">2021-11-12T13:49:00Z</dcterms:modified>
</cp:coreProperties>
</file>